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1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150"/>
        <w:gridCol w:w="2800"/>
        <w:gridCol w:w="5100"/>
        <w:gridCol w:w="33"/>
        <w:gridCol w:w="3588"/>
      </w:tblGrid>
      <w:tr>
        <w:trPr>
          <w:trHeight w:val="503" w:hRule="atLeast"/>
        </w:trPr>
        <w:tc>
          <w:tcPr>
            <w:tcW w:w="1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Analyse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Éléments de mise en oeuvre</w:t>
            </w:r>
          </w:p>
        </w:tc>
      </w:tr>
      <w:tr>
        <w:trPr>
          <w:trHeight w:val="537" w:hRule="atLeast"/>
        </w:trPr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Énoncé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Notions mathématiques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Stratégies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</w:t>
            </w:r>
          </w:p>
        </w:tc>
      </w:tr>
      <w:tr>
        <w:trPr>
          <w:trHeight w:val="1849" w:hRule="atLeast"/>
        </w:trPr>
        <w:tc>
          <w:tcPr>
            <w:tcW w:w="4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La salle de spectacle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Dans une petite salle de spectacle, on a remarqué </w:t>
            </w:r>
            <w:r>
              <w:rPr>
                <w:rFonts w:cs="Tw Cen MT" w:ascii="Times New Roman" w:hAnsi="Times New Roman"/>
                <w:sz w:val="24"/>
                <w:szCs w:val="24"/>
                <w:lang w:val="es-ES_tradnl"/>
              </w:rPr>
              <w:t xml:space="preserve">que 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le nombre de spectateurs dépend du prix à payer pour assister au spectacle. </w:t>
            </w:r>
          </w:p>
          <w:p>
            <w:pPr>
              <w:pStyle w:val="Pardfaut"/>
              <w:shd w:fill="FFFFFF" w:val="clear"/>
              <w:bidi w:val="0"/>
              <w:jc w:val="left"/>
              <w:rPr>
                <w:rFonts w:ascii="Times New Roman" w:hAnsi="Times New Roman" w:cs="Arial"/>
                <w:sz w:val="24"/>
                <w:szCs w:val="24"/>
                <w:lang w:val="fr-FR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fr-FR"/>
              </w:rPr>
              <w:t xml:space="preserve">Quand le prix du billet est de 20 euros, il y a environ 180 spectateurs. </w:t>
            </w:r>
          </w:p>
          <w:p>
            <w:pPr>
              <w:pStyle w:val="Pardfaut"/>
              <w:shd w:fill="FFFFFF" w:val="clear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fr-FR"/>
              </w:rPr>
              <w:t>Toute augmentation du prix de 5</w:t>
            </w:r>
            <w:r>
              <w:rPr>
                <w:rFonts w:cs="Arial" w:ascii="Times New Roman" w:hAnsi="Times New Roman"/>
                <w:sz w:val="24"/>
                <w:szCs w:val="24"/>
                <w:lang w:val="pt-PT"/>
              </w:rPr>
              <w:t xml:space="preserve"> euros  entra</w:t>
            </w:r>
            <w:r>
              <w:rPr>
                <w:rFonts w:cs="Arial" w:ascii="Times New Roman" w:hAnsi="Times New Roman"/>
                <w:sz w:val="24"/>
                <w:szCs w:val="24"/>
              </w:rPr>
              <w:t>î</w:t>
            </w:r>
            <w:r>
              <w:rPr>
                <w:rFonts w:cs="Arial" w:ascii="Times New Roman" w:hAnsi="Times New Roman"/>
                <w:sz w:val="24"/>
                <w:szCs w:val="24"/>
                <w:lang w:val="fr-FR"/>
              </w:rPr>
              <w:t xml:space="preserve">ne 10 spectateurs en moins.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Quel prix d’entrée faut-il choisir pour que la recette soit maximale 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</w:rPr>
              <w:t xml:space="preserve">…) </w:t>
            </w:r>
            <w:r>
              <w:rPr>
                <w:rFonts w:cs="Tw Cen MT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Tout un travail sur le contexte de l’énoncé et le vocabulaire employé est indispensable de même qu’un travail de reformulation. Une 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temps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 d’introduction est donc nécessaire..</w:t>
            </w:r>
          </w:p>
        </w:tc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</w:rPr>
              <w:t>me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Problème pour chercher de type optimisation avec suite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sz w:val="24"/>
                <w:szCs w:val="24"/>
                <w:lang w:val="fr-FR"/>
              </w:rPr>
            </w:pPr>
            <w:r>
              <w:rPr>
                <w:rFonts w:eastAsia="Tw Cen MT" w:cs="Tw Cen MT"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Comprendre le scénario de la situation problème pour le mettre en oeuvre. Par tatônnements successifs découvrir l’algorithme permettant de trouver la solution.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gamme de nombres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 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&lt;10000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en-US"/>
              </w:rPr>
              <w:t>requises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Maîtrise de la multiplication, comparer des grandeurs.</w:t>
            </w:r>
          </w:p>
        </w:tc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en-US"/>
              </w:rPr>
              <w:t xml:space="preserve">ponse experte – </w:t>
            </w:r>
            <w:r>
              <w:rPr>
                <w:rFonts w:cs="Tw Cen MT" w:ascii="Times New Roman" w:hAnsi="Times New Roman"/>
                <w:b/>
                <w:bCs/>
                <w:sz w:val="18"/>
                <w:szCs w:val="18"/>
                <w:lang w:val="en-US"/>
              </w:rPr>
              <w:t>N est le nombre d’augmentations de 5 € (cela correspond aussi à une baisse de 10 spectateurs).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20 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euros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 =&gt; 180 x 20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20+1x5 =&gt; (180-1x10)x(20+1x 5)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20+2x5=&gt; (180-2x10)x(20+2x5)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…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..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20+7x5=&gt;(180-7x10)x(20+7x5)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20+Nx5=&gt;(180-Nx10)x(20+Nx5)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pour N =8 c’est à dire pour un prix du billet à 60 euros la recette commence à baisser. La solution est donc (20+7x5)euros soit 55€ pour (180-7x10 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= 110)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 spectateurs.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édures possibles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- Calculer chaque situation en constituant la suite des recettes possibles.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- Essayer avec des augmentations par exemple de +5 puis +15 euros et faire plusieurs essais et comparer les résultats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Difficultés envisageables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- Poser des opérations sans comprendre le « scénario »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- Vouloir utiliser la proportionnalité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Etape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des groupes pour différenciation après analyse par l’enseignant des productions individuelles.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Style w:val="Aucun"/>
                <w:b w:val="false"/>
                <w:b w:val="false"/>
                <w:bCs w:val="false"/>
                <w:i w:val="false"/>
                <w:i w:val="false"/>
                <w:iCs w:val="false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</w:rPr>
              <w:t>riel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L’énoncé.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La calculatrice (à discuter)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D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emander d’utiliser une A3 pour répondre.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Une feuille avec un tableau pour organiser les réponses.</w:t>
            </w:r>
          </w:p>
        </w:tc>
      </w:tr>
      <w:tr>
        <w:trPr>
          <w:trHeight w:val="1849" w:hRule="atLeast"/>
        </w:trPr>
        <w:tc>
          <w:tcPr>
            <w:tcW w:w="41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85" w:hRule="atLeast"/>
        </w:trPr>
        <w:tc>
          <w:tcPr>
            <w:tcW w:w="41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1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698" w:hRule="atLeast"/>
        </w:trPr>
        <w:tc>
          <w:tcPr>
            <w:tcW w:w="415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eastAsia="Tw Cen MT" w:cs="Tw Cen MT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w Cen MT" w:ascii="Times New Roman" w:hAnsi="Times New Roman"/>
                <w:sz w:val="24"/>
                <w:szCs w:val="24"/>
              </w:rPr>
              <w:t>Faire chercher la situation sans chercher à optimiser avec les prix d’entrée fixés à 20, 25, 30 euros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  <w:tc>
          <w:tcPr>
            <w:tcW w:w="513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  <w:t>- P</w:t>
            </w:r>
            <w:r>
              <w:rPr>
                <w:rFonts w:cs="Tw Cen MT" w:ascii="Times New Roman" w:hAnsi="Times New Roman"/>
                <w:sz w:val="24"/>
                <w:szCs w:val="24"/>
              </w:rPr>
              <w:t>roposer une calculatrice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w Cen MT" w:ascii="Times New Roman" w:hAnsi="Times New Roman"/>
                <w:sz w:val="24"/>
                <w:szCs w:val="24"/>
              </w:rPr>
              <w:t>Fournir un tableau avec des zones déjà remplies (plus ou moins selon le niveau de difficulté voulu (cf exemple ci-dessous).</w:t>
            </w:r>
          </w:p>
        </w:tc>
      </w:tr>
      <w:tr>
        <w:trPr>
          <w:trHeight w:val="442" w:hRule="atLeast"/>
        </w:trPr>
        <w:tc>
          <w:tcPr>
            <w:tcW w:w="1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683" w:hRule="atLeast"/>
        </w:trPr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  <w:t xml:space="preserve">Ce soir-là il y avait 128 spectateurs. A combien a pu s’élever la recette du spectacle ?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  <w:t>Il y a eu 2 spectacles dans la semaine et cela a rapporté 11000€. Combien de spectateurs en tout dans la semaine ?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Corpsdetexte"/>
        <w:jc w:val="center"/>
        <w:rPr>
          <w:sz w:val="36"/>
          <w:szCs w:val="36"/>
        </w:rPr>
      </w:pPr>
      <w:r>
        <w:rPr>
          <w:sz w:val="36"/>
          <w:szCs w:val="36"/>
        </w:rPr>
        <w:t>Tableau qui peut être donné, cela permet d’organiser les recherches.</w:t>
      </w:r>
    </w:p>
    <w:tbl>
      <w:tblPr>
        <w:tblW w:w="7365" w:type="dxa"/>
        <w:jc w:val="left"/>
        <w:tblInd w:w="4128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55"/>
        <w:gridCol w:w="2455"/>
        <w:gridCol w:w="2455"/>
      </w:tblGrid>
      <w:tr>
        <w:trPr>
          <w:trHeight w:val="624" w:hRule="exact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Prix de la place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Nombre de spectateurs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Recette</w:t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Corpsdetexte"/>
        <w:jc w:val="center"/>
        <w:rPr>
          <w:sz w:val="36"/>
          <w:szCs w:val="36"/>
        </w:rPr>
      </w:pPr>
      <w:r>
        <w:rPr>
          <w:sz w:val="36"/>
          <w:szCs w:val="36"/>
        </w:rPr>
        <w:t>Tableau qui peut être donné pour simplifier le problème ou différencier.</w:t>
      </w:r>
    </w:p>
    <w:tbl>
      <w:tblPr>
        <w:tblW w:w="7365" w:type="dxa"/>
        <w:jc w:val="left"/>
        <w:tblInd w:w="4128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55"/>
        <w:gridCol w:w="2455"/>
        <w:gridCol w:w="2455"/>
      </w:tblGrid>
      <w:tr>
        <w:trPr>
          <w:trHeight w:val="624" w:hRule="exact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Prix de la place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Nombre de spectateurs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Recette</w:t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15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180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25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170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30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35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40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45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50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55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60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65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624" w:hRule="exact"/>
        </w:trPr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LibreOffice/6.2.7.1$Windows_X86_64 LibreOffice_project/23edc44b61b830b7d749943e020e96f5a7df63bf</Application>
  <Pages>4</Pages>
  <Words>505</Words>
  <CharactersWithSpaces>3174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2019-12-22T10:27:41Z</dcterms:created>
  <dc:creator/>
  <dc:description/>
  <dc:language>fr-FR</dc:language>
  <cp:lastModifiedBy/>
  <dcterms:modified xsi:type="dcterms:W3CDTF">2019-12-24T15:09:58Z</dcterms:modified>
  <cp:revision>3</cp:revision>
  <dc:subject/>
  <dc:title/>
</cp:coreProperties>
</file>