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04" w:type="dxa"/>
        <w:jc w:val="righ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617"/>
        <w:gridCol w:w="2633"/>
        <w:gridCol w:w="33"/>
        <w:gridCol w:w="3700"/>
        <w:gridCol w:w="3621"/>
      </w:tblGrid>
      <w:tr>
        <w:trPr>
          <w:trHeight w:val="503" w:hRule="atLeast"/>
          <w:cantSplit w:val="true"/>
        </w:trPr>
        <w:tc>
          <w:tcPr>
            <w:tcW w:w="1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Analyse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Éléments de mise en oeuvre</w:t>
            </w:r>
          </w:p>
        </w:tc>
      </w:tr>
      <w:tr>
        <w:trPr>
          <w:trHeight w:val="537" w:hRule="atLeast"/>
          <w:cantSplit w:val="true"/>
        </w:trPr>
        <w:tc>
          <w:tcPr>
            <w:tcW w:w="5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Énoncé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Notions mathématiques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>Stratégies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DDDDDD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eastAsia="Tw Cen MT" w:cs="Tw Cen MT"/>
                <w:b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eastAsia="Tw Cen MT" w:cs="Tw Cen MT" w:ascii="Times New Roman" w:hAnsi="Times New Roman"/>
                <w:b/>
                <w:bCs/>
                <w:sz w:val="28"/>
                <w:szCs w:val="28"/>
                <w:highlight w:val="lightGray"/>
              </w:rPr>
              <w:t xml:space="preserve"> </w:t>
            </w:r>
          </w:p>
        </w:tc>
      </w:tr>
      <w:tr>
        <w:trPr>
          <w:trHeight w:val="1849" w:hRule="atLeast"/>
          <w:cantSplit w:val="true"/>
        </w:trPr>
        <w:tc>
          <w:tcPr>
            <w:tcW w:w="5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/>
                <w:b/>
                <w:sz w:val="24"/>
                <w:szCs w:val="24"/>
                <w:u w:val="single"/>
              </w:rPr>
            </w:pPr>
            <w:r>
              <w:rPr>
                <w:rFonts w:cs="Calibri" w:ascii="Times New Roman" w:hAnsi="Times New Roman"/>
                <w:b/>
                <w:sz w:val="24"/>
                <w:szCs w:val="24"/>
                <w:u w:val="single"/>
              </w:rPr>
              <w:t>Les passe-temps</w:t>
            </w:r>
          </w:p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/>
                <w:b/>
                <w:sz w:val="24"/>
                <w:szCs w:val="24"/>
                <w:u w:val="single"/>
              </w:rPr>
            </w:pPr>
            <w:r>
              <w:rPr>
                <w:rFonts w:cs="Calibri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Western"/>
              <w:spacing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Cinq amis Pierre, Patrick, Paul, Philippe et Pascal ont cinq passe-temps différents : bricolage, chasse, pêche, collection et musique.</w:t>
            </w:r>
          </w:p>
          <w:p>
            <w:pPr>
              <w:pStyle w:val="Western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Western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highlight w:val="yellow"/>
              </w:rPr>
              <w:t>1- Pierre est le cousin du chasseur et le frère du musicien.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highlight w:val="yellow"/>
              </w:rPr>
              <w:t>2- Philippe a sa maison située entre celle du collectionneur et celle du pêcheur.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highlight w:val="yellow"/>
              </w:rPr>
              <w:t>3- Pascal va souvent chez le chasseur et les deux jouent aux cartes contre le musicien et Philippe.</w:t>
            </w:r>
          </w:p>
          <w:p>
            <w:pPr>
              <w:pStyle w:val="Western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  <w:highlight w:val="yellow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highlight w:val="yellow"/>
              </w:rPr>
              <w:t>4- Paul est le seul à ne pas habiter la même ville que ses amis.</w:t>
            </w:r>
          </w:p>
          <w:p>
            <w:pPr>
              <w:pStyle w:val="Western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  <w:highlight w:val="yellow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highlight w:val="yellow"/>
              </w:rPr>
              <w:t>5- Patrick n’aime pas la musique.</w:t>
            </w:r>
          </w:p>
          <w:p>
            <w:pPr>
              <w:pStyle w:val="Western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  <w:highlight w:val="yellow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  <w:highlight w:val="yellow"/>
              </w:rPr>
              <w:t>6- Pierre vient de se fâcher avec le collectionneur.</w:t>
            </w:r>
          </w:p>
          <w:p>
            <w:pPr>
              <w:pStyle w:val="Western"/>
              <w:bidi w:val="0"/>
              <w:spacing w:before="0" w:after="0"/>
              <w:ind w:left="0" w:right="0" w:hanging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Calibri"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Quel est le passe-temps de Pierre ?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Identification des difficulté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pt-PT"/>
              </w:rPr>
              <w:t>s de compr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éhension (contexte, implicite, chronologie, connecteurs, faux amis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 xml:space="preserve">…)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 La forme de l’énoncé est peu habituelle : chaque paragraphe a un statut différent (présentation du contexte / exposition des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prémisses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à partir desquelles les élèves devront faire des déductions / annonce de l’objet de la recherche non formulé sous forme de question).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Les prénoms masculins choisis sont « proches » et peuvent induire des confusions.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 La prémisse 4 doit nécessairement être mise en lien avec la prémisse 2 pour être exploitable.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 Toutes les prémisses ne sont pas nécessaires pour répondre à la question posée.</w:t>
            </w:r>
          </w:p>
        </w:tc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Type de problè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me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Problème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de logique sans donnée numérique.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eastAsia="Tw Cen MT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eastAsia="Tw Cen MT"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Objectifs et notions visé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s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Développer le raisonnement </w:t>
            </w: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logique</w:t>
            </w: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G</w:t>
            </w:r>
            <w:r>
              <w:rPr>
                <w:rStyle w:val="Aucun"/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amme de nombres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: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Pas de nombres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Notions pré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requises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Calibri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Règles de logique du type si A=B et B=C alors A=C…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ponse experte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Le passe-temps de Pierre est la pêche.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jc w:val="left"/>
              <w:outlineLvl w:val="1"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Proc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édures possibles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- 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Présentation des prémisses de manière imagée (des traits pour montrer les liens entre personnages, des maisons dessinées pour le prémisse 2…).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Difficultés envisageables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Organisation de la recherche.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 Prise d’indices au sein des prémisses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w Cen MT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Mise en relation des prémisses entre elles pour pouvoir effectuer des déductions.</w:t>
            </w:r>
          </w:p>
        </w:tc>
        <w:tc>
          <w:tcPr>
            <w:tcW w:w="3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Etape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 de la séquence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Annonce des objectifs de la séquence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Analyse collective de l’énoncé </w:t>
              <w:br/>
              <w:t>- Définition de l’objet de la recherche (anticipation du résultat)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Phase de recherche individuelle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- Recherche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 et m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ise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 xml:space="preserve"> en commun</w:t>
            </w: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  <w:t>s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i w:val="false"/>
                <w:i w:val="false"/>
                <w:iCs w:val="false"/>
                <w:sz w:val="24"/>
                <w:szCs w:val="24"/>
                <w:lang w:val="fr-FR"/>
              </w:rPr>
            </w:pPr>
            <w:r>
              <w:rPr>
                <w:rFonts w:cs="Tw Cen MT" w:ascii="Times New Roman" w:hAnsi="Times New Roman"/>
                <w:i w:val="false"/>
                <w:iCs w:val="false"/>
                <w:sz w:val="24"/>
                <w:szCs w:val="24"/>
                <w:lang w:val="fr-FR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Modalit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és d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’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 xml:space="preserve">organisation et de travail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- Alternance de phases collectives et individuelles. </w:t>
            </w:r>
          </w:p>
          <w:p>
            <w:pPr>
              <w:pStyle w:val="Normal"/>
              <w:numPr>
                <w:ilvl w:val="0"/>
                <w:numId w:val="0"/>
              </w:numPr>
              <w:suppressAutoHyphens w:val="true"/>
              <w:spacing w:lineRule="auto" w:line="240" w:before="0" w:after="0"/>
              <w:contextualSpacing/>
              <w:jc w:val="left"/>
              <w:outlineLvl w:val="1"/>
              <w:rPr/>
            </w:pP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- Possibilité de c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onstitu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>er</w:t>
            </w:r>
            <w:r>
              <w:rPr>
                <w:rStyle w:val="Aucun"/>
                <w:rFonts w:cs="Tw Cen MT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fr-FR"/>
              </w:rPr>
              <w:t xml:space="preserve"> des groupes pour différenciation après analyse par l’enseignant des productions individuelles.</w:t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 w:cs="Tw Cen MT"/>
                <w:b/>
                <w:b/>
                <w:bCs/>
                <w:i w:val="false"/>
                <w:i w:val="false"/>
                <w:iCs w:val="false"/>
                <w:sz w:val="24"/>
                <w:szCs w:val="24"/>
                <w:lang w:val="it-IT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</w:r>
          </w:p>
          <w:p>
            <w:pPr>
              <w:pStyle w:val="Pardfaut"/>
              <w:numPr>
                <w:ilvl w:val="0"/>
                <w:numId w:val="0"/>
              </w:numPr>
              <w:shd w:fill="FFFFFF" w:val="clear"/>
              <w:suppressAutoHyphens w:val="true"/>
              <w:ind w:left="0" w:right="0" w:hanging="0"/>
              <w:jc w:val="left"/>
              <w:outlineLvl w:val="1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M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it-IT"/>
              </w:rPr>
              <w:t>at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  <w:lang w:val="fr-FR"/>
              </w:rPr>
              <w:t>é</w:t>
            </w:r>
            <w:r>
              <w:rPr>
                <w:rFonts w:cs="Tw Cen MT" w:ascii="Times New Roman" w:hAnsi="Times New Roman"/>
                <w:b/>
                <w:bCs/>
                <w:i w:val="false"/>
                <w:iCs w:val="false"/>
                <w:sz w:val="24"/>
                <w:szCs w:val="24"/>
              </w:rPr>
              <w:t>riel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Énoncé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Feuilles de recherche vierges.</w:t>
              <w:br/>
              <w:t xml:space="preserve">- Crayons de papier </w:t>
            </w:r>
            <w:r>
              <w:rPr>
                <w:rFonts w:ascii="Times New Roman" w:hAnsi="Times New Roman"/>
                <w:sz w:val="24"/>
                <w:szCs w:val="24"/>
              </w:rPr>
              <w:t>et de couleurs.</w:t>
            </w:r>
          </w:p>
        </w:tc>
      </w:tr>
      <w:tr>
        <w:trPr>
          <w:trHeight w:val="1849" w:hRule="atLeast"/>
          <w:cantSplit w:val="true"/>
        </w:trPr>
        <w:tc>
          <w:tcPr>
            <w:tcW w:w="56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85" w:hRule="atLeast"/>
          <w:cantSplit w:val="true"/>
        </w:trPr>
        <w:tc>
          <w:tcPr>
            <w:tcW w:w="56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3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3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2" w:hRule="atLeast"/>
          <w:cantSplit w:val="true"/>
        </w:trPr>
        <w:tc>
          <w:tcPr>
            <w:tcW w:w="15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simplifications</w:t>
            </w:r>
          </w:p>
        </w:tc>
      </w:tr>
      <w:tr>
        <w:trPr>
          <w:trHeight w:val="1433" w:hRule="atLeast"/>
          <w:cantSplit w:val="true"/>
        </w:trPr>
        <w:tc>
          <w:tcPr>
            <w:tcW w:w="5617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Proposer un étayage renforcé au moment de la découverte de l’énoncé : reformulation de l’enseignant, jeu « théâtralisé » de la situation par les élèves…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Mettre en forme l’énoncé pour faciliter le repérage (numérotation des prémisses, mise en évidence de la question posée…).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Réduire le nombre de personnage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 d’activité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Ôter les prémisses non nécessaires (proposer par exemple 1, 2, 3, 5 et 6).</w:t>
            </w:r>
          </w:p>
        </w:tc>
        <w:tc>
          <w:tcPr>
            <w:tcW w:w="2633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73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Proposer une grille :</w:t>
            </w:r>
          </w:p>
          <w:tbl>
            <w:tblPr>
              <w:tblW w:w="351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464"/>
              <w:gridCol w:w="464"/>
              <w:gridCol w:w="464"/>
              <w:gridCol w:w="464"/>
              <w:gridCol w:w="464"/>
            </w:tblGrid>
            <w:tr>
              <w:trPr>
                <w:trHeight w:val="983" w:hRule="atLeast"/>
                <w:cantSplit w:val="true"/>
              </w:trPr>
              <w:tc>
                <w:tcPr>
                  <w:tcW w:w="1196" w:type="dxa"/>
                  <w:tcBorders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napToGrid w:val="false"/>
                    <w:spacing w:lineRule="auto" w:line="240" w:before="0" w:after="0"/>
                    <w:contextualSpacing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  <w:textDirection w:val="btLr"/>
                </w:tcPr>
                <w:p>
                  <w:pPr>
                    <w:pStyle w:val="Normal"/>
                    <w:spacing w:lineRule="auto" w:line="240" w:before="0" w:after="0"/>
                    <w:ind w:left="113" w:right="113" w:hanging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Bricolage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  <w:textDirection w:val="btLr"/>
                </w:tcPr>
                <w:p>
                  <w:pPr>
                    <w:pStyle w:val="Normal"/>
                    <w:spacing w:lineRule="auto" w:line="240" w:before="0" w:after="0"/>
                    <w:ind w:left="113" w:right="113" w:hanging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Chasse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  <w:textDirection w:val="btLr"/>
                </w:tcPr>
                <w:p>
                  <w:pPr>
                    <w:pStyle w:val="Normal"/>
                    <w:spacing w:lineRule="auto" w:line="240" w:before="0" w:after="0"/>
                    <w:ind w:left="113" w:right="113" w:hanging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Pêche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  <w:textDirection w:val="btLr"/>
                </w:tcPr>
                <w:p>
                  <w:pPr>
                    <w:pStyle w:val="Normal"/>
                    <w:spacing w:lineRule="auto" w:line="240" w:before="0" w:after="0"/>
                    <w:ind w:left="113" w:right="113" w:hanging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Collection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textDirection w:val="btLr"/>
                </w:tcPr>
                <w:p>
                  <w:pPr>
                    <w:pStyle w:val="Normal"/>
                    <w:spacing w:lineRule="auto" w:line="240" w:before="0" w:after="0"/>
                    <w:ind w:left="113" w:right="113" w:hanging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Musique</w:t>
                  </w:r>
                </w:p>
              </w:tc>
            </w:tr>
            <w:tr>
              <w:trPr/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Pierre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B6DDE8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</w:tr>
            <w:tr>
              <w:trPr/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Patrick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</w:tr>
            <w:tr>
              <w:trPr/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Philippe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</w:tr>
            <w:tr>
              <w:trPr/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Pascal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</w:tr>
            <w:tr>
              <w:trPr/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Paul</w:t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  <w:tc>
                <w:tcPr>
                  <w:tcW w:w="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</w:r>
          </w:p>
        </w:tc>
      </w:tr>
      <w:tr>
        <w:trPr>
          <w:trHeight w:val="442" w:hRule="atLeast"/>
          <w:cantSplit w:val="true"/>
        </w:trPr>
        <w:tc>
          <w:tcPr>
            <w:tcW w:w="15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Pardfaut"/>
              <w:numPr>
                <w:ilvl w:val="0"/>
                <w:numId w:val="0"/>
              </w:numPr>
              <w:shd w:fill="CCCCCC" w:val="clear"/>
              <w:suppressAutoHyphens w:val="true"/>
              <w:ind w:left="0" w:right="0" w:hanging="0"/>
              <w:jc w:val="center"/>
              <w:outlineLvl w:val="1"/>
              <w:rPr>
                <w:rFonts w:ascii="Times New Roman" w:hAnsi="Times New Roman" w:cs="Tw Cen MT"/>
                <w:b/>
                <w:b/>
                <w:bCs/>
                <w:sz w:val="28"/>
                <w:szCs w:val="28"/>
              </w:rPr>
            </w:pPr>
            <w:r>
              <w:rPr>
                <w:rFonts w:cs="Tw Cen MT" w:ascii="Times New Roman" w:hAnsi="Times New Roman"/>
                <w:b/>
                <w:bCs/>
                <w:sz w:val="28"/>
                <w:szCs w:val="28"/>
              </w:rPr>
              <w:t>Variables de complexification</w:t>
            </w:r>
          </w:p>
        </w:tc>
      </w:tr>
      <w:tr>
        <w:trPr>
          <w:trHeight w:val="683" w:hRule="atLeast"/>
          <w:cantSplit w:val="true"/>
        </w:trPr>
        <w:tc>
          <w:tcPr>
            <w:tcW w:w="5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Ajouter une consigne supplémentaire : rechercher tous les couples de correspondants possibles (combinatoire) avant l’analyse des prémisses.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Modifier l’ordre des prémisses.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Laisser l’ensemble des prémisses.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Augmenter le nombre de personnage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 d’activité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swiss"/>
    <w:pitch w:val="default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Aucun">
    <w:name w:val="Aucun"/>
    <w:qFormat/>
    <w:rPr>
      <w:lang w:val="de-DE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16"/>
      <w:szCs w:val="1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/>
      <w:vertAlign w:val="baseline"/>
      <w:em w:val="none"/>
      <w:lang w:val="fr-FR" w:eastAsia="zh-CN" w:bidi="hi-IN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Arial" w:hAnsi="Arial" w:eastAsia="Times New Roman" w:cs="Arial"/>
      <w:color w:val="000000"/>
      <w:sz w:val="28"/>
      <w:szCs w:val="28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kern w:val="2"/>
      <w:sz w:val="20"/>
      <w:szCs w:val="20"/>
      <w:lang w:val="fr-FR" w:eastAsia="fr-FR" w:bidi="ar-SA"/>
    </w:rPr>
  </w:style>
  <w:style w:type="numbering" w:styleId="WW8Num1">
    <w:name w:val="WW8Num1"/>
    <w:qFormat/>
  </w:style>
  <w:style w:type="numbering" w:styleId="WW8Num5">
    <w:name w:val="WW8Num5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LibreOffice/6.2.7.1$Windows_X86_64 LibreOffice_project/23edc44b61b830b7d749943e020e96f5a7df63bf</Application>
  <Pages>2</Pages>
  <Words>513</Words>
  <CharactersWithSpaces>3240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2019-12-22T10:27:41Z</dcterms:created>
  <dc:creator/>
  <dc:description/>
  <dc:language>fr-FR</dc:language>
  <cp:lastModifiedBy/>
  <dcterms:modified xsi:type="dcterms:W3CDTF">2019-12-24T10:45:12Z</dcterms:modified>
  <cp:revision>9</cp:revision>
  <dc:subject/>
  <dc:title/>
</cp:coreProperties>
</file>